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91E0" w14:textId="77777777" w:rsidR="007D04D3" w:rsidRPr="007D04D3" w:rsidRDefault="007D04D3" w:rsidP="007D04D3">
      <w:pPr>
        <w:kinsoku w:val="0"/>
        <w:overflowPunct w:val="0"/>
        <w:autoSpaceDE w:val="0"/>
        <w:autoSpaceDN w:val="0"/>
        <w:adjustRightInd w:val="0"/>
        <w:spacing w:after="0" w:line="359" w:lineRule="exact"/>
        <w:ind w:left="39"/>
        <w:rPr>
          <w:rFonts w:ascii="Cambria" w:hAnsi="Cambria" w:cs="Cambria"/>
          <w:b/>
          <w:bCs/>
          <w:sz w:val="32"/>
          <w:szCs w:val="32"/>
        </w:rPr>
      </w:pPr>
      <w:r w:rsidRPr="007D04D3">
        <w:rPr>
          <w:rFonts w:ascii="Cambria" w:hAnsi="Cambria" w:cs="Cambria"/>
          <w:b/>
          <w:bCs/>
          <w:sz w:val="32"/>
          <w:szCs w:val="32"/>
        </w:rPr>
        <w:t>Thymatron</w:t>
      </w:r>
      <w:r w:rsidRPr="007D04D3">
        <w:rPr>
          <w:rFonts w:ascii="Cambria" w:hAnsi="Cambria" w:cs="Cambria"/>
          <w:b/>
          <w:bCs/>
          <w:position w:val="8"/>
          <w:sz w:val="21"/>
          <w:szCs w:val="21"/>
        </w:rPr>
        <w:t xml:space="preserve">® </w:t>
      </w:r>
      <w:r w:rsidRPr="007D04D3">
        <w:rPr>
          <w:rFonts w:ascii="Cambria" w:hAnsi="Cambria" w:cs="Cambria"/>
          <w:b/>
          <w:bCs/>
          <w:sz w:val="32"/>
          <w:szCs w:val="32"/>
        </w:rPr>
        <w:t>System IV Instructions for Use</w:t>
      </w:r>
    </w:p>
    <w:p w14:paraId="45021D76" w14:textId="77777777" w:rsidR="007D04D3" w:rsidRPr="007D04D3" w:rsidRDefault="007D04D3" w:rsidP="007D04D3">
      <w:pPr>
        <w:kinsoku w:val="0"/>
        <w:overflowPunct w:val="0"/>
        <w:autoSpaceDE w:val="0"/>
        <w:autoSpaceDN w:val="0"/>
        <w:adjustRightInd w:val="0"/>
        <w:spacing w:after="0" w:line="241" w:lineRule="exact"/>
        <w:ind w:right="221"/>
        <w:jc w:val="right"/>
        <w:rPr>
          <w:rFonts w:ascii="Times New Roman" w:hAnsi="Times New Roman" w:cs="Times New Roman"/>
        </w:rPr>
      </w:pPr>
      <w:r w:rsidRPr="007D04D3">
        <w:rPr>
          <w:rFonts w:ascii="Times New Roman" w:hAnsi="Times New Roman" w:cs="Times New Roman"/>
        </w:rPr>
        <w:t>1</w:t>
      </w:r>
    </w:p>
    <w:p w14:paraId="7D30FE99" w14:textId="77777777" w:rsidR="007D04D3" w:rsidRPr="007D04D3" w:rsidRDefault="007D04D3" w:rsidP="007D04D3">
      <w:pPr>
        <w:kinsoku w:val="0"/>
        <w:overflowPunct w:val="0"/>
        <w:autoSpaceDE w:val="0"/>
        <w:autoSpaceDN w:val="0"/>
        <w:adjustRightInd w:val="0"/>
        <w:spacing w:after="0" w:line="318" w:lineRule="exact"/>
        <w:ind w:left="2330" w:right="2331"/>
        <w:jc w:val="center"/>
        <w:rPr>
          <w:rFonts w:ascii="Times New Roman" w:hAnsi="Times New Roman" w:cs="Times New Roman"/>
          <w:b/>
          <w:bCs/>
          <w:sz w:val="30"/>
          <w:szCs w:val="30"/>
        </w:rPr>
      </w:pPr>
      <w:r w:rsidRPr="007D04D3">
        <w:rPr>
          <w:rFonts w:ascii="Times New Roman" w:hAnsi="Times New Roman" w:cs="Times New Roman"/>
          <w:b/>
          <w:bCs/>
          <w:sz w:val="30"/>
          <w:szCs w:val="30"/>
          <w:u w:val="thick"/>
        </w:rPr>
        <w:t>User's Manual for Thymatron</w:t>
      </w:r>
      <w:r w:rsidRPr="007D04D3">
        <w:rPr>
          <w:rFonts w:ascii="Times New Roman" w:hAnsi="Times New Roman" w:cs="Times New Roman"/>
          <w:b/>
          <w:bCs/>
          <w:position w:val="1"/>
          <w:sz w:val="30"/>
          <w:szCs w:val="30"/>
          <w:u w:val="thick"/>
        </w:rPr>
        <w:t>® System IV</w:t>
      </w:r>
    </w:p>
    <w:p w14:paraId="5BA41F67" w14:textId="77777777" w:rsidR="007D04D3" w:rsidRPr="007D04D3" w:rsidRDefault="007D04D3" w:rsidP="007D04D3">
      <w:pPr>
        <w:kinsoku w:val="0"/>
        <w:overflowPunct w:val="0"/>
        <w:autoSpaceDE w:val="0"/>
        <w:autoSpaceDN w:val="0"/>
        <w:adjustRightInd w:val="0"/>
        <w:spacing w:after="0" w:line="237" w:lineRule="exact"/>
        <w:ind w:left="1338"/>
        <w:outlineLvl w:val="0"/>
        <w:rPr>
          <w:rFonts w:ascii="Times New Roman" w:hAnsi="Times New Roman" w:cs="Times New Roman"/>
          <w:b/>
          <w:bCs/>
        </w:rPr>
      </w:pPr>
      <w:r w:rsidRPr="007D04D3">
        <w:rPr>
          <w:rFonts w:ascii="Times New Roman" w:hAnsi="Times New Roman" w:cs="Times New Roman"/>
          <w:b/>
          <w:bCs/>
        </w:rPr>
        <w:t>Prescription use only – Federal law restricts this device to sale by or on the order of a</w:t>
      </w:r>
    </w:p>
    <w:p w14:paraId="42559AF1" w14:textId="77777777" w:rsidR="007D04D3" w:rsidRPr="007D04D3" w:rsidRDefault="007D04D3" w:rsidP="007D04D3">
      <w:pPr>
        <w:kinsoku w:val="0"/>
        <w:overflowPunct w:val="0"/>
        <w:autoSpaceDE w:val="0"/>
        <w:autoSpaceDN w:val="0"/>
        <w:adjustRightInd w:val="0"/>
        <w:spacing w:before="37" w:after="0" w:line="240" w:lineRule="auto"/>
        <w:ind w:left="1338"/>
        <w:rPr>
          <w:rFonts w:ascii="Times New Roman" w:hAnsi="Times New Roman" w:cs="Times New Roman"/>
          <w:b/>
          <w:bCs/>
        </w:rPr>
      </w:pPr>
      <w:r w:rsidRPr="007D04D3">
        <w:rPr>
          <w:rFonts w:ascii="Times New Roman" w:hAnsi="Times New Roman" w:cs="Times New Roman"/>
          <w:b/>
          <w:bCs/>
        </w:rPr>
        <w:t>physician.</w:t>
      </w:r>
    </w:p>
    <w:p w14:paraId="6925F84C" w14:textId="77777777" w:rsidR="007D04D3" w:rsidRPr="007D04D3" w:rsidRDefault="007D04D3" w:rsidP="007D04D3">
      <w:pPr>
        <w:kinsoku w:val="0"/>
        <w:overflowPunct w:val="0"/>
        <w:autoSpaceDE w:val="0"/>
        <w:autoSpaceDN w:val="0"/>
        <w:adjustRightInd w:val="0"/>
        <w:spacing w:before="8" w:after="0" w:line="240" w:lineRule="auto"/>
        <w:rPr>
          <w:rFonts w:ascii="Times New Roman" w:hAnsi="Times New Roman" w:cs="Times New Roman"/>
          <w:b/>
          <w:bCs/>
        </w:rPr>
      </w:pPr>
    </w:p>
    <w:p w14:paraId="70B37943" w14:textId="77777777" w:rsidR="007D04D3" w:rsidRPr="007D04D3" w:rsidRDefault="007D04D3" w:rsidP="007D04D3">
      <w:pPr>
        <w:kinsoku w:val="0"/>
        <w:overflowPunct w:val="0"/>
        <w:autoSpaceDE w:val="0"/>
        <w:autoSpaceDN w:val="0"/>
        <w:adjustRightInd w:val="0"/>
        <w:spacing w:before="206" w:after="0" w:line="276" w:lineRule="auto"/>
        <w:ind w:left="39" w:right="116"/>
        <w:rPr>
          <w:rFonts w:ascii="Times New Roman" w:hAnsi="Times New Roman" w:cs="Times New Roman"/>
        </w:rPr>
      </w:pPr>
      <w:r w:rsidRPr="007D04D3">
        <w:rPr>
          <w:rFonts w:ascii="Times New Roman" w:hAnsi="Times New Roman" w:cs="Times New Roman"/>
        </w:rPr>
        <w:t>Electroconvulsive Therapy (ECT) is a complex medical procedure. Its proper and safe conduct requires a staff of licensed healthcare professionals who are trained and have experienced in-person supervision with the associated procedures, have received clinical privileges for ECT from the appropriate hospital committee, and have carefully read and are thoroughly familiar with the medical literature concerning the risks, benefits, complications, and methods of ECT. Specifically, practitioners intending to use the Thymatron System IV should be familiar with ECT-related concerns including medical conditions that affect risks, adverse effects,</w:t>
      </w:r>
    </w:p>
    <w:p w14:paraId="303FF0A2" w14:textId="77777777" w:rsidR="007D04D3" w:rsidRPr="007D04D3" w:rsidRDefault="007D04D3" w:rsidP="007D04D3">
      <w:pPr>
        <w:kinsoku w:val="0"/>
        <w:overflowPunct w:val="0"/>
        <w:autoSpaceDE w:val="0"/>
        <w:autoSpaceDN w:val="0"/>
        <w:adjustRightInd w:val="0"/>
        <w:spacing w:after="0" w:line="276" w:lineRule="auto"/>
        <w:ind w:left="39" w:right="133"/>
        <w:rPr>
          <w:rFonts w:ascii="Times New Roman" w:hAnsi="Times New Roman" w:cs="Times New Roman"/>
        </w:rPr>
      </w:pPr>
      <w:r w:rsidRPr="007D04D3">
        <w:rPr>
          <w:rFonts w:ascii="Times New Roman" w:hAnsi="Times New Roman" w:cs="Times New Roman"/>
        </w:rPr>
        <w:t>pre-ECT evaluation, medications used during ECT, ECT procedures and techniques, physiological phenomena, consent, ECT unit staffing, evaluation of outcome, and post-course ECT management. Practitioners should keep current with information about these concerns published in major textbooks, in major journals of psychiatry, and by professional psychiatric organizations. They should also be familiar with the FDA final order of December 26, 2018 (83 FR 66103-66124). Clinicians who administer ECT should participate in continuing education about ECT.</w:t>
      </w:r>
    </w:p>
    <w:p w14:paraId="1FFF42E8" w14:textId="77777777" w:rsidR="007D04D3" w:rsidRPr="007D04D3" w:rsidRDefault="007D04D3" w:rsidP="007D04D3">
      <w:pPr>
        <w:kinsoku w:val="0"/>
        <w:overflowPunct w:val="0"/>
        <w:autoSpaceDE w:val="0"/>
        <w:autoSpaceDN w:val="0"/>
        <w:adjustRightInd w:val="0"/>
        <w:spacing w:before="1" w:after="0" w:line="276" w:lineRule="auto"/>
        <w:ind w:left="39" w:right="116"/>
        <w:rPr>
          <w:rFonts w:ascii="Times New Roman" w:hAnsi="Times New Roman" w:cs="Times New Roman"/>
          <w:highlight w:val="yellow"/>
        </w:rPr>
      </w:pPr>
      <w:r w:rsidRPr="007D04D3">
        <w:rPr>
          <w:rFonts w:ascii="Times New Roman" w:hAnsi="Times New Roman" w:cs="Times New Roman"/>
          <w:highlight w:val="yellow"/>
        </w:rPr>
        <w:t>It is essential that doctors planning to use the Thymatron® System IV device read and follow the warnings and recommendations of the Task Force Report of the American Psychiatric Association as set forth in “The Practice of Electroconvulsive Therapy” (APA, 2001), which states, in part, that "A small minority of patients treated with ECT later report devastating cognitive consequences. Patients may indicate that they have dense amnesia extending far back into the past for events of personal significance or that broad aspects of cognitive function are so impaired that the patients are no longer able to engage in former occupations...in some patient self-reports of profound ECT-induced deficits may reflect objective loss of function...In rare cases, ECT may result in a dense and persistent retrograde amnesia extending to years..."</w:t>
      </w:r>
    </w:p>
    <w:p w14:paraId="1EB67FC5" w14:textId="77777777" w:rsidR="007D04D3" w:rsidRPr="007D04D3" w:rsidRDefault="007D04D3" w:rsidP="007D04D3">
      <w:pPr>
        <w:kinsoku w:val="0"/>
        <w:overflowPunct w:val="0"/>
        <w:autoSpaceDE w:val="0"/>
        <w:autoSpaceDN w:val="0"/>
        <w:adjustRightInd w:val="0"/>
        <w:spacing w:before="1" w:after="0" w:line="240" w:lineRule="auto"/>
        <w:ind w:left="39"/>
        <w:rPr>
          <w:rFonts w:ascii="Times New Roman" w:hAnsi="Times New Roman" w:cs="Times New Roman"/>
        </w:rPr>
      </w:pPr>
      <w:r w:rsidRPr="007D04D3">
        <w:rPr>
          <w:rFonts w:ascii="Times New Roman" w:hAnsi="Times New Roman" w:cs="Times New Roman"/>
          <w:highlight w:val="yellow"/>
        </w:rPr>
        <w:t xml:space="preserve">It is essential to read </w:t>
      </w:r>
      <w:proofErr w:type="gramStart"/>
      <w:r w:rsidRPr="007D04D3">
        <w:rPr>
          <w:rFonts w:ascii="Times New Roman" w:hAnsi="Times New Roman" w:cs="Times New Roman"/>
          <w:highlight w:val="yellow"/>
        </w:rPr>
        <w:t>all of</w:t>
      </w:r>
      <w:proofErr w:type="gramEnd"/>
      <w:r w:rsidRPr="007D04D3">
        <w:rPr>
          <w:rFonts w:ascii="Times New Roman" w:hAnsi="Times New Roman" w:cs="Times New Roman"/>
          <w:highlight w:val="yellow"/>
        </w:rPr>
        <w:t xml:space="preserve"> the information in the Safety Information section of this manual, pages 7 - 9.</w:t>
      </w:r>
    </w:p>
    <w:p w14:paraId="5A5078F7" w14:textId="77777777" w:rsidR="007D04D3" w:rsidRPr="007D04D3" w:rsidRDefault="007D04D3" w:rsidP="007D04D3">
      <w:pPr>
        <w:kinsoku w:val="0"/>
        <w:overflowPunct w:val="0"/>
        <w:autoSpaceDE w:val="0"/>
        <w:autoSpaceDN w:val="0"/>
        <w:adjustRightInd w:val="0"/>
        <w:spacing w:after="0" w:line="240" w:lineRule="auto"/>
        <w:rPr>
          <w:rFonts w:ascii="Times New Roman" w:hAnsi="Times New Roman" w:cs="Times New Roman"/>
          <w:sz w:val="24"/>
          <w:szCs w:val="24"/>
        </w:rPr>
      </w:pPr>
    </w:p>
    <w:p w14:paraId="5C3D71BF" w14:textId="77777777" w:rsidR="007D04D3" w:rsidRPr="007D04D3" w:rsidRDefault="007D04D3" w:rsidP="007D04D3">
      <w:pPr>
        <w:kinsoku w:val="0"/>
        <w:overflowPunct w:val="0"/>
        <w:autoSpaceDE w:val="0"/>
        <w:autoSpaceDN w:val="0"/>
        <w:adjustRightInd w:val="0"/>
        <w:spacing w:after="0" w:line="240" w:lineRule="auto"/>
        <w:ind w:left="39"/>
        <w:rPr>
          <w:rFonts w:ascii="Times New Roman" w:hAnsi="Times New Roman" w:cs="Times New Roman"/>
        </w:rPr>
      </w:pPr>
      <w:r w:rsidRPr="007D04D3">
        <w:rPr>
          <w:rFonts w:ascii="Times New Roman" w:hAnsi="Times New Roman" w:cs="Times New Roman"/>
        </w:rPr>
        <w:t xml:space="preserve">Copyright© 1999; 2000; 2001; 2002; 2003; 2004; 2005; 2006; 2009; 2013; 2015; 2016; 2018; </w:t>
      </w:r>
      <w:r w:rsidRPr="007D04D3">
        <w:rPr>
          <w:rFonts w:ascii="Times New Roman" w:hAnsi="Times New Roman" w:cs="Times New Roman"/>
          <w:highlight w:val="yellow"/>
        </w:rPr>
        <w:t>2019</w:t>
      </w:r>
      <w:r w:rsidRPr="007D04D3">
        <w:rPr>
          <w:rFonts w:ascii="Times New Roman" w:hAnsi="Times New Roman" w:cs="Times New Roman"/>
        </w:rPr>
        <w:t xml:space="preserve"> Somatics</w:t>
      </w:r>
    </w:p>
    <w:p w14:paraId="3C419A4F" w14:textId="77777777" w:rsidR="007D04D3" w:rsidRPr="007D04D3" w:rsidRDefault="007D04D3" w:rsidP="007D04D3">
      <w:pPr>
        <w:kinsoku w:val="0"/>
        <w:overflowPunct w:val="0"/>
        <w:autoSpaceDE w:val="0"/>
        <w:autoSpaceDN w:val="0"/>
        <w:adjustRightInd w:val="0"/>
        <w:spacing w:before="40" w:after="0" w:line="276" w:lineRule="auto"/>
        <w:ind w:left="39"/>
        <w:rPr>
          <w:rFonts w:ascii="Times New Roman" w:hAnsi="Times New Roman" w:cs="Times New Roman"/>
        </w:rPr>
      </w:pPr>
      <w:r w:rsidRPr="007D04D3">
        <w:rPr>
          <w:rFonts w:ascii="Times New Roman" w:hAnsi="Times New Roman" w:cs="Times New Roman"/>
        </w:rPr>
        <w:t>LLC. All rights reserved. No portion of this manual may be reproduced by any means without the permission of Somatics LLC.</w:t>
      </w:r>
    </w:p>
    <w:p w14:paraId="3BC98E15" w14:textId="77777777" w:rsidR="007D04D3" w:rsidRPr="007D04D3" w:rsidRDefault="007D04D3" w:rsidP="007D04D3">
      <w:pPr>
        <w:kinsoku w:val="0"/>
        <w:overflowPunct w:val="0"/>
        <w:autoSpaceDE w:val="0"/>
        <w:autoSpaceDN w:val="0"/>
        <w:adjustRightInd w:val="0"/>
        <w:spacing w:after="0" w:line="276" w:lineRule="auto"/>
        <w:ind w:left="39" w:right="8121"/>
        <w:rPr>
          <w:rFonts w:ascii="Times New Roman" w:hAnsi="Times New Roman" w:cs="Times New Roman"/>
        </w:rPr>
      </w:pPr>
      <w:r w:rsidRPr="007D04D3">
        <w:rPr>
          <w:rFonts w:ascii="Times New Roman" w:hAnsi="Times New Roman" w:cs="Times New Roman"/>
        </w:rPr>
        <w:t>Technical Support USA and Canada</w:t>
      </w:r>
    </w:p>
    <w:p w14:paraId="3E5C9D1C" w14:textId="77777777" w:rsidR="007D04D3" w:rsidRPr="007D04D3" w:rsidRDefault="007D04D3" w:rsidP="007D04D3">
      <w:pPr>
        <w:kinsoku w:val="0"/>
        <w:overflowPunct w:val="0"/>
        <w:autoSpaceDE w:val="0"/>
        <w:autoSpaceDN w:val="0"/>
        <w:adjustRightInd w:val="0"/>
        <w:spacing w:after="0" w:line="252" w:lineRule="exact"/>
        <w:ind w:left="39"/>
        <w:rPr>
          <w:rFonts w:ascii="Times New Roman" w:hAnsi="Times New Roman" w:cs="Times New Roman"/>
        </w:rPr>
      </w:pPr>
      <w:r w:rsidRPr="007D04D3">
        <w:rPr>
          <w:rFonts w:ascii="Times New Roman" w:hAnsi="Times New Roman" w:cs="Times New Roman"/>
        </w:rPr>
        <w:t>(800) 642 – 6761 or +1-847-234-6761</w:t>
      </w:r>
    </w:p>
    <w:p w14:paraId="02042114" w14:textId="77777777" w:rsidR="007D04D3" w:rsidRPr="007D04D3" w:rsidRDefault="007D04D3" w:rsidP="007D04D3">
      <w:pPr>
        <w:kinsoku w:val="0"/>
        <w:overflowPunct w:val="0"/>
        <w:autoSpaceDE w:val="0"/>
        <w:autoSpaceDN w:val="0"/>
        <w:adjustRightInd w:val="0"/>
        <w:spacing w:before="27" w:after="0" w:line="240" w:lineRule="auto"/>
        <w:ind w:left="39"/>
        <w:rPr>
          <w:rFonts w:ascii="Times New Roman" w:hAnsi="Times New Roman" w:cs="Times New Roman"/>
        </w:rPr>
      </w:pPr>
      <w:r w:rsidRPr="007D04D3">
        <w:rPr>
          <w:rFonts w:ascii="Times New Roman" w:hAnsi="Times New Roman" w:cs="Times New Roman"/>
        </w:rPr>
        <w:t>Fax: (847) 234 – 6763</w:t>
      </w:r>
    </w:p>
    <w:p w14:paraId="7375B0F0" w14:textId="77777777" w:rsidR="007D04D3" w:rsidRPr="007D04D3" w:rsidRDefault="007D04D3" w:rsidP="007D04D3">
      <w:pPr>
        <w:kinsoku w:val="0"/>
        <w:overflowPunct w:val="0"/>
        <w:autoSpaceDE w:val="0"/>
        <w:autoSpaceDN w:val="0"/>
        <w:adjustRightInd w:val="0"/>
        <w:spacing w:after="0" w:line="241" w:lineRule="exact"/>
        <w:ind w:left="39"/>
        <w:rPr>
          <w:rFonts w:ascii="Times New Roman" w:hAnsi="Times New Roman" w:cs="Times New Roman"/>
          <w:color w:val="0000FF"/>
        </w:rPr>
      </w:pPr>
      <w:r w:rsidRPr="007D04D3">
        <w:rPr>
          <w:rFonts w:ascii="Times New Roman" w:hAnsi="Times New Roman" w:cs="Times New Roman"/>
        </w:rPr>
        <w:t>E-mail:</w:t>
      </w:r>
      <w:r w:rsidRPr="007D04D3">
        <w:rPr>
          <w:rFonts w:ascii="Times New Roman" w:hAnsi="Times New Roman" w:cs="Times New Roman"/>
          <w:spacing w:val="54"/>
        </w:rPr>
        <w:t xml:space="preserve"> </w:t>
      </w:r>
      <w:hyperlink r:id="rId4" w:history="1">
        <w:r w:rsidRPr="007D04D3">
          <w:rPr>
            <w:rFonts w:ascii="Times New Roman" w:hAnsi="Times New Roman" w:cs="Times New Roman"/>
            <w:color w:val="0000FF"/>
            <w:u w:val="single"/>
          </w:rPr>
          <w:t>sales@thymatron.com</w:t>
        </w:r>
      </w:hyperlink>
    </w:p>
    <w:p w14:paraId="6C097925" w14:textId="5E5E3DDE" w:rsidR="007D04D3" w:rsidRDefault="007D04D3">
      <w:r>
        <w:br w:type="page"/>
      </w:r>
    </w:p>
    <w:p w14:paraId="607849E2" w14:textId="01B753F3" w:rsidR="004B20EA" w:rsidRDefault="007D04D3"/>
    <w:p w14:paraId="711C3384" w14:textId="0532D90F" w:rsidR="007D04D3" w:rsidRDefault="007D04D3">
      <w:r w:rsidRPr="007D04D3">
        <w:rPr>
          <w:noProof/>
        </w:rPr>
        <w:drawing>
          <wp:inline distT="0" distB="0" distL="0" distR="0" wp14:anchorId="5B52366F" wp14:editId="519D8F3D">
            <wp:extent cx="6477000" cy="907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072880"/>
                    </a:xfrm>
                    <a:prstGeom prst="rect">
                      <a:avLst/>
                    </a:prstGeom>
                    <a:noFill/>
                    <a:ln>
                      <a:noFill/>
                    </a:ln>
                  </pic:spPr>
                </pic:pic>
              </a:graphicData>
            </a:graphic>
          </wp:inline>
        </w:drawing>
      </w:r>
    </w:p>
    <w:sectPr w:rsidR="007D04D3" w:rsidSect="007D04D3">
      <w:pgSz w:w="12240" w:h="15840"/>
      <w:pgMar w:top="0" w:right="1020" w:bottom="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D3"/>
    <w:rsid w:val="007D04D3"/>
    <w:rsid w:val="00947130"/>
    <w:rsid w:val="00BC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BBCC"/>
  <w15:chartTrackingRefBased/>
  <w15:docId w15:val="{C90A66C3-A457-42CE-9F8F-EA8358C8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sales@thyma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Breggin</dc:creator>
  <cp:keywords/>
  <dc:description/>
  <cp:lastModifiedBy>Peter Breggin</cp:lastModifiedBy>
  <cp:revision>1</cp:revision>
  <dcterms:created xsi:type="dcterms:W3CDTF">2020-06-15T15:01:00Z</dcterms:created>
  <dcterms:modified xsi:type="dcterms:W3CDTF">2020-06-15T15:10:00Z</dcterms:modified>
</cp:coreProperties>
</file>